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BBACE" w14:textId="1F58BD80" w:rsidR="00485E17" w:rsidRDefault="00DD27FF" w:rsidP="00485E17">
      <w:pPr>
        <w:pStyle w:val="3GPPHeader"/>
        <w:spacing w:after="0"/>
      </w:pPr>
      <w:bookmarkStart w:id="0" w:name="_Toc347824246"/>
      <w:bookmarkStart w:id="1" w:name="_Toc347824073"/>
      <w:bookmarkStart w:id="2" w:name="_Toc347823621"/>
      <w:bookmarkStart w:id="3" w:name="_Toc226862296"/>
      <w:bookmarkStart w:id="4" w:name="_Ref190406817"/>
      <w:bookmarkStart w:id="5" w:name="OLE_LINK1"/>
      <w:bookmarkStart w:id="6" w:name="OLE_LINK2"/>
      <w:r w:rsidRPr="00EA743A">
        <w:rPr>
          <w:rFonts w:cs="Arial"/>
        </w:rPr>
        <w:t>3GPP TSG-RAN WG</w:t>
      </w:r>
      <w:r>
        <w:rPr>
          <w:rFonts w:cs="Arial"/>
        </w:rPr>
        <w:t>1</w:t>
      </w:r>
      <w:r w:rsidR="00287A54">
        <w:rPr>
          <w:rFonts w:cs="Arial"/>
        </w:rPr>
        <w:t>#92</w:t>
      </w:r>
      <w:r w:rsidR="00485E17">
        <w:tab/>
      </w:r>
      <w:r w:rsidR="00D62D31">
        <w:t>R1-</w:t>
      </w:r>
      <w:r w:rsidR="00A059F4" w:rsidRPr="00A059F4">
        <w:rPr>
          <w:rFonts w:cs="Arial"/>
          <w:color w:val="000000"/>
          <w:sz w:val="16"/>
          <w:szCs w:val="16"/>
        </w:rPr>
        <w:t xml:space="preserve"> </w:t>
      </w:r>
      <w:r w:rsidR="00A059F4" w:rsidRPr="00A059F4">
        <w:rPr>
          <w:rFonts w:cs="Arial"/>
          <w:color w:val="000000"/>
          <w:szCs w:val="16"/>
        </w:rPr>
        <w:t>1802610</w:t>
      </w:r>
    </w:p>
    <w:bookmarkEnd w:id="0"/>
    <w:bookmarkEnd w:id="1"/>
    <w:bookmarkEnd w:id="2"/>
    <w:bookmarkEnd w:id="3"/>
    <w:bookmarkEnd w:id="4"/>
    <w:p w14:paraId="115A41E9" w14:textId="60651ED7" w:rsidR="00485E17" w:rsidRDefault="00A059F4" w:rsidP="00485E17">
      <w:pPr>
        <w:pStyle w:val="3GPPHeader"/>
        <w:spacing w:after="0"/>
      </w:pPr>
      <w:r>
        <w:rPr>
          <w:rFonts w:eastAsia="Malgun Gothic" w:cs="Arial"/>
          <w:lang w:eastAsia="ko-KR"/>
        </w:rPr>
        <w:t>Athens, Greece</w:t>
      </w:r>
      <w:r w:rsidR="00DD27FF" w:rsidRPr="00EA743A">
        <w:rPr>
          <w:rFonts w:eastAsia="Malgun Gothic" w:cs="Arial"/>
          <w:lang w:eastAsia="ko-KR"/>
        </w:rPr>
        <w:t xml:space="preserve">, </w:t>
      </w:r>
      <w:r>
        <w:rPr>
          <w:rFonts w:eastAsia="Malgun Gothic" w:cs="Arial"/>
          <w:lang w:eastAsia="ko-KR"/>
        </w:rPr>
        <w:t>Feb 26</w:t>
      </w:r>
      <w:r w:rsidR="00DD27FF" w:rsidRPr="00EA743A">
        <w:rPr>
          <w:rFonts w:eastAsia="Malgun Gothic" w:cs="Arial"/>
          <w:lang w:eastAsia="ko-KR"/>
        </w:rPr>
        <w:t xml:space="preserve"> – </w:t>
      </w:r>
      <w:r>
        <w:rPr>
          <w:rFonts w:eastAsia="Malgun Gothic" w:cs="Arial"/>
          <w:lang w:eastAsia="ko-KR"/>
        </w:rPr>
        <w:t>March 2</w:t>
      </w:r>
      <w:r w:rsidR="00DD27FF" w:rsidRPr="00EA743A">
        <w:rPr>
          <w:rFonts w:eastAsia="Malgun Gothic" w:cs="Arial"/>
          <w:lang w:eastAsia="ko-KR"/>
        </w:rPr>
        <w:t xml:space="preserve"> 2018</w:t>
      </w:r>
    </w:p>
    <w:p w14:paraId="185DF399" w14:textId="77777777" w:rsidR="004549CC" w:rsidRPr="00485E17" w:rsidRDefault="004549CC" w:rsidP="004549CC">
      <w:pPr>
        <w:pStyle w:val="TdocHeader2"/>
        <w:rPr>
          <w:sz w:val="22"/>
        </w:rPr>
      </w:pPr>
    </w:p>
    <w:p w14:paraId="4163909E" w14:textId="68525A87" w:rsidR="00DD27FF" w:rsidRPr="00746AAD" w:rsidRDefault="00DD27FF" w:rsidP="00DD27FF">
      <w:pPr>
        <w:pStyle w:val="TdocHeader2"/>
        <w:rPr>
          <w:sz w:val="20"/>
          <w:lang w:val="en-US"/>
        </w:rPr>
      </w:pPr>
      <w:r w:rsidRPr="004932C9">
        <w:rPr>
          <w:sz w:val="20"/>
          <w:lang w:val="en-US"/>
        </w:rPr>
        <w:t>Agenda Item:</w:t>
      </w:r>
      <w:r w:rsidRPr="004932C9">
        <w:rPr>
          <w:sz w:val="20"/>
          <w:lang w:val="en-US"/>
        </w:rPr>
        <w:tab/>
      </w:r>
      <w:r w:rsidR="00A059F4">
        <w:rPr>
          <w:sz w:val="20"/>
          <w:lang w:val="en-US"/>
        </w:rPr>
        <w:t>7.6.2</w:t>
      </w:r>
    </w:p>
    <w:p w14:paraId="6757062D" w14:textId="34F5CF6D" w:rsidR="004549CC" w:rsidRPr="004932C9" w:rsidRDefault="004549CC" w:rsidP="004549CC">
      <w:pPr>
        <w:pStyle w:val="TdocHeader2"/>
        <w:rPr>
          <w:sz w:val="20"/>
          <w:lang w:val="en-US"/>
        </w:rPr>
      </w:pPr>
      <w:r w:rsidRPr="004932C9">
        <w:rPr>
          <w:sz w:val="20"/>
          <w:lang w:val="en-US"/>
        </w:rPr>
        <w:t xml:space="preserve">Source: </w:t>
      </w:r>
      <w:r w:rsidRPr="004932C9">
        <w:rPr>
          <w:sz w:val="20"/>
          <w:lang w:val="en-US"/>
        </w:rPr>
        <w:tab/>
      </w:r>
      <w:r w:rsidR="00306A47">
        <w:rPr>
          <w:sz w:val="20"/>
          <w:lang w:val="en-US"/>
        </w:rPr>
        <w:t>AT&amp;T</w:t>
      </w:r>
    </w:p>
    <w:p w14:paraId="1094E523" w14:textId="68A622D4" w:rsidR="004549CC" w:rsidRPr="004932C9" w:rsidRDefault="004549CC" w:rsidP="004549CC">
      <w:pPr>
        <w:pStyle w:val="TdocHeader2"/>
        <w:rPr>
          <w:sz w:val="20"/>
          <w:lang w:val="en-US"/>
        </w:rPr>
      </w:pPr>
      <w:r w:rsidRPr="004932C9">
        <w:rPr>
          <w:sz w:val="20"/>
          <w:lang w:val="en-US"/>
        </w:rPr>
        <w:t>Title:</w:t>
      </w:r>
      <w:bookmarkStart w:id="7" w:name="Title"/>
      <w:bookmarkEnd w:id="7"/>
      <w:r w:rsidR="0024218B" w:rsidRPr="004932C9">
        <w:rPr>
          <w:sz w:val="20"/>
          <w:lang w:val="en-US"/>
        </w:rPr>
        <w:tab/>
      </w:r>
      <w:r w:rsidR="001D4C9E">
        <w:rPr>
          <w:sz w:val="20"/>
          <w:lang w:val="en-US"/>
        </w:rPr>
        <w:t>Use C</w:t>
      </w:r>
      <w:r w:rsidR="00A059F4">
        <w:rPr>
          <w:sz w:val="20"/>
          <w:lang w:val="en-US"/>
        </w:rPr>
        <w:t>ases and Scenarios for NR in Unlicensed Bands</w:t>
      </w:r>
    </w:p>
    <w:p w14:paraId="665E6D67" w14:textId="28C4D4A8" w:rsidR="004549CC" w:rsidRPr="00746AAD" w:rsidRDefault="004549CC" w:rsidP="004549CC">
      <w:pPr>
        <w:pStyle w:val="TdocHeader2"/>
        <w:rPr>
          <w:sz w:val="20"/>
          <w:lang w:val="en-US"/>
        </w:rPr>
      </w:pPr>
      <w:r w:rsidRPr="00746AAD">
        <w:rPr>
          <w:sz w:val="20"/>
          <w:lang w:val="en-US"/>
        </w:rPr>
        <w:t>Document for:</w:t>
      </w:r>
      <w:r w:rsidRPr="00746AAD">
        <w:rPr>
          <w:sz w:val="20"/>
          <w:lang w:val="en-US"/>
        </w:rPr>
        <w:tab/>
        <w:t xml:space="preserve">Discussion </w:t>
      </w:r>
      <w:r w:rsidR="00DD27FF">
        <w:rPr>
          <w:sz w:val="20"/>
          <w:lang w:val="en-US"/>
        </w:rPr>
        <w:t>/ Approval</w:t>
      </w:r>
    </w:p>
    <w:p w14:paraId="4F97FE48" w14:textId="77777777"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8" w:name="_Ref298777854"/>
      <w:bookmarkEnd w:id="5"/>
      <w:bookmarkEnd w:id="6"/>
      <w:r w:rsidRPr="00310B2F">
        <w:t>Introduction</w:t>
      </w:r>
      <w:bookmarkEnd w:id="8"/>
    </w:p>
    <w:p w14:paraId="2A92D3E3" w14:textId="7AEAADB0" w:rsidR="00181690" w:rsidRPr="0035671C" w:rsidRDefault="00BC6CB3" w:rsidP="00A05E64">
      <w:pPr>
        <w:pStyle w:val="BodyText"/>
      </w:pPr>
      <w:r>
        <w:t xml:space="preserve">The ever-growing need for use of wireless applications drives the need for </w:t>
      </w:r>
      <w:r w:rsidR="0017463E">
        <w:t>increasing</w:t>
      </w:r>
      <w:r>
        <w:t xml:space="preserve"> amounts of spectrum. Most of the existing spectrum </w:t>
      </w:r>
      <w:r w:rsidR="007241EF">
        <w:t xml:space="preserve">being used for LTE </w:t>
      </w:r>
      <w:r>
        <w:t xml:space="preserve">will not be repurposed </w:t>
      </w:r>
      <w:r w:rsidR="007241EF">
        <w:t xml:space="preserve">for NR for </w:t>
      </w:r>
      <w:r w:rsidR="00A87226">
        <w:t>some time</w:t>
      </w:r>
      <w:r w:rsidR="007241EF">
        <w:t xml:space="preserve">. Thus, it is important to have new spectrum available </w:t>
      </w:r>
      <w:r w:rsidR="0017463E">
        <w:t xml:space="preserve">to fulfill </w:t>
      </w:r>
      <w:r w:rsidR="004F2C2B">
        <w:t>network demands</w:t>
      </w:r>
      <w:r w:rsidR="00A87226">
        <w:t xml:space="preserve">. </w:t>
      </w:r>
      <w:r w:rsidR="0017463E">
        <w:t xml:space="preserve">Most of the new spectrum in mmWave bands may not be very suitable for </w:t>
      </w:r>
      <w:r w:rsidR="00DD6475">
        <w:t>mobile applications (e.g. outdoor to indoor coverage)</w:t>
      </w:r>
      <w:r w:rsidR="0017463E">
        <w:t xml:space="preserve">. </w:t>
      </w:r>
      <w:r w:rsidR="00DD6475">
        <w:t xml:space="preserve">This is where unlicensed and shared spectrum can fill </w:t>
      </w:r>
      <w:r w:rsidR="004F2C2B">
        <w:t>the gap</w:t>
      </w:r>
      <w:r w:rsidR="00DD6475">
        <w:t xml:space="preserve">. </w:t>
      </w:r>
      <w:r w:rsidR="007241EF">
        <w:t xml:space="preserve">Unlicensed spectrum is </w:t>
      </w:r>
      <w:r w:rsidR="00DD6475">
        <w:t>a new</w:t>
      </w:r>
      <w:r w:rsidR="007241EF">
        <w:t xml:space="preserve"> frontier recently being e</w:t>
      </w:r>
      <w:r w:rsidR="00A87226">
        <w:t xml:space="preserve">xploited for mobile broadband offload using License Assisted Access (LAA). NR has the potential to improve LAA by </w:t>
      </w:r>
      <w:r w:rsidR="00557727">
        <w:t>increasing</w:t>
      </w:r>
      <w:r w:rsidR="00A87226">
        <w:t xml:space="preserve"> throughputs</w:t>
      </w:r>
      <w:r w:rsidR="00557727">
        <w:t xml:space="preserve">, improving QoS, </w:t>
      </w:r>
      <w:r w:rsidR="00DD6475">
        <w:t>as well as</w:t>
      </w:r>
      <w:r w:rsidR="00557727">
        <w:t xml:space="preserve"> improving</w:t>
      </w:r>
      <w:r w:rsidR="00A87226">
        <w:t xml:space="preserve"> coexistence</w:t>
      </w:r>
      <w:r w:rsidR="00FA7906">
        <w:t xml:space="preserve"> within and across users / operators</w:t>
      </w:r>
      <w:r w:rsidR="00A87226">
        <w:t xml:space="preserve">. </w:t>
      </w:r>
      <w:r w:rsidR="00F15E5F">
        <w:t xml:space="preserve">NR also has the potential to </w:t>
      </w:r>
      <w:r w:rsidR="00DD6475">
        <w:t>make new deployment scenarios possible and to be used</w:t>
      </w:r>
      <w:r w:rsidR="00F15E5F">
        <w:t xml:space="preserve"> in bands where there is no Wi-Fi or LTE LAA present allowing for a Greenfield design without legacy issues. </w:t>
      </w:r>
      <w:r w:rsidR="009749D5">
        <w:t>At RAN-</w:t>
      </w:r>
      <w:r w:rsidR="00700C98">
        <w:t>75 a study item on NR-based Access to Unlicen</w:t>
      </w:r>
      <w:r w:rsidR="00306A47">
        <w:t xml:space="preserve">sed Spectrum </w:t>
      </w:r>
      <w:r w:rsidR="00BD2520">
        <w:t xml:space="preserve">[1] </w:t>
      </w:r>
      <w:r w:rsidR="00306A47">
        <w:t>was approved. W</w:t>
      </w:r>
      <w:r w:rsidR="00700C98">
        <w:t xml:space="preserve">ork </w:t>
      </w:r>
      <w:r w:rsidR="00A87226">
        <w:t>is expected to</w:t>
      </w:r>
      <w:r w:rsidR="00700C98">
        <w:t xml:space="preserve"> </w:t>
      </w:r>
      <w:r w:rsidR="00665F5D">
        <w:t xml:space="preserve">start </w:t>
      </w:r>
      <w:r w:rsidR="00306A47">
        <w:t>this year</w:t>
      </w:r>
      <w:r w:rsidR="00700C98">
        <w:t xml:space="preserve">. </w:t>
      </w:r>
      <w:r>
        <w:t>An informal workshop on NR for unlicensed and shared spectrum was held in San Diego in Oct, 2017. Subsequently, an email discussion was conducted to discuss deployment scenarios</w:t>
      </w:r>
      <w:r w:rsidR="004F2C2B">
        <w:t>, spectrum options and simulation scenarios</w:t>
      </w:r>
      <w:r>
        <w:t>.</w:t>
      </w:r>
      <w:r w:rsidR="00557727">
        <w:t xml:space="preserve"> In this contribution we </w:t>
      </w:r>
      <w:r w:rsidR="004F2C2B">
        <w:t>describe</w:t>
      </w:r>
      <w:r w:rsidR="00557727">
        <w:t xml:space="preserve"> some deployment scenarios </w:t>
      </w:r>
      <w:r w:rsidR="004F2C2B">
        <w:t xml:space="preserve">and spectrum options </w:t>
      </w:r>
      <w:r w:rsidR="00557727">
        <w:t xml:space="preserve">that </w:t>
      </w:r>
      <w:r w:rsidR="00DD6475">
        <w:t>may</w:t>
      </w:r>
      <w:r w:rsidR="00557727">
        <w:t xml:space="preserve"> be attractive to operators.</w:t>
      </w:r>
      <w:r w:rsidR="00DD6475">
        <w:t xml:space="preserve"> </w:t>
      </w:r>
    </w:p>
    <w:p w14:paraId="649271C2" w14:textId="2CC98221" w:rsidR="0017463E" w:rsidRPr="00C92329" w:rsidRDefault="004549CC" w:rsidP="00A05E64">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52A294B1" w14:textId="745ECE39" w:rsidR="003673E4" w:rsidRDefault="005724FA" w:rsidP="003673E4">
      <w:pPr>
        <w:pStyle w:val="Heading2"/>
      </w:pPr>
      <w:r>
        <w:t>Deployment scenarios</w:t>
      </w:r>
    </w:p>
    <w:p w14:paraId="741A53CB" w14:textId="77777777" w:rsidR="003673E4" w:rsidRPr="003673E4" w:rsidRDefault="003673E4" w:rsidP="003673E4">
      <w:pPr>
        <w:pStyle w:val="BodyText"/>
        <w:rPr>
          <w:sz w:val="4"/>
        </w:rPr>
      </w:pPr>
    </w:p>
    <w:p w14:paraId="08550A80" w14:textId="56CE5C63" w:rsidR="005724FA" w:rsidRDefault="00CC7969" w:rsidP="00A05E64">
      <w:pPr>
        <w:pStyle w:val="BodyText"/>
        <w:rPr>
          <w:szCs w:val="22"/>
        </w:rPr>
      </w:pPr>
      <w:r>
        <w:rPr>
          <w:szCs w:val="22"/>
        </w:rPr>
        <w:t>Mobile data offload has been the number one use case for unlicensed spectrum. With NR it would continue to be the most significant use case.</w:t>
      </w:r>
      <w:r w:rsidR="00386322">
        <w:rPr>
          <w:szCs w:val="22"/>
        </w:rPr>
        <w:t xml:space="preserve"> </w:t>
      </w:r>
      <w:r w:rsidR="003673E4">
        <w:rPr>
          <w:szCs w:val="22"/>
        </w:rPr>
        <w:t>NR natively supports a more efficient design allowing for higher throughputs, lower latency, better QoS and improved coexistence</w:t>
      </w:r>
    </w:p>
    <w:p w14:paraId="70EE7012" w14:textId="70FDDC06" w:rsidR="004F2C2B" w:rsidRPr="005724FA" w:rsidRDefault="004F2C2B" w:rsidP="004F2C2B">
      <w:pPr>
        <w:pStyle w:val="BodyText"/>
        <w:rPr>
          <w:b/>
          <w:szCs w:val="22"/>
        </w:rPr>
      </w:pPr>
      <w:r w:rsidRPr="005724FA">
        <w:rPr>
          <w:b/>
          <w:szCs w:val="22"/>
        </w:rPr>
        <w:t>Proposal</w:t>
      </w:r>
      <w:r w:rsidR="00F71F37">
        <w:rPr>
          <w:b/>
          <w:szCs w:val="22"/>
        </w:rPr>
        <w:t xml:space="preserve"> 1</w:t>
      </w:r>
      <w:r w:rsidRPr="005724FA">
        <w:rPr>
          <w:b/>
          <w:szCs w:val="22"/>
        </w:rPr>
        <w:tab/>
      </w:r>
      <w:r>
        <w:rPr>
          <w:b/>
          <w:szCs w:val="22"/>
        </w:rPr>
        <w:t xml:space="preserve">Consider improved mobile data offload (DL and UL) for NR-U </w:t>
      </w:r>
    </w:p>
    <w:p w14:paraId="784B96E6" w14:textId="362F1F1F" w:rsidR="005724FA" w:rsidRDefault="00386322" w:rsidP="00A05E64">
      <w:pPr>
        <w:pStyle w:val="BodyText"/>
        <w:rPr>
          <w:szCs w:val="22"/>
        </w:rPr>
      </w:pPr>
      <w:r>
        <w:rPr>
          <w:szCs w:val="22"/>
        </w:rPr>
        <w:t xml:space="preserve">A </w:t>
      </w:r>
      <w:r w:rsidR="004F2C2B">
        <w:rPr>
          <w:szCs w:val="22"/>
        </w:rPr>
        <w:t>sizable</w:t>
      </w:r>
      <w:r>
        <w:rPr>
          <w:szCs w:val="22"/>
        </w:rPr>
        <w:t xml:space="preserve"> amount of unlicensed spectrum in 60 GHz is suitable for P2P </w:t>
      </w:r>
      <w:r w:rsidR="004F2C2B">
        <w:rPr>
          <w:szCs w:val="22"/>
        </w:rPr>
        <w:t xml:space="preserve">applications </w:t>
      </w:r>
      <w:r w:rsidR="003673E4">
        <w:rPr>
          <w:szCs w:val="22"/>
        </w:rPr>
        <w:t>due to</w:t>
      </w:r>
      <w:r w:rsidR="004F2C2B">
        <w:rPr>
          <w:szCs w:val="22"/>
        </w:rPr>
        <w:t xml:space="preserve"> high EIRP limits</w:t>
      </w:r>
      <w:r>
        <w:rPr>
          <w:szCs w:val="22"/>
        </w:rPr>
        <w:t xml:space="preserve">. </w:t>
      </w:r>
      <w:r w:rsidR="00EB46C1">
        <w:rPr>
          <w:szCs w:val="22"/>
        </w:rPr>
        <w:t xml:space="preserve">This spectrum, along with licensed spectrum can be used for </w:t>
      </w:r>
      <w:r w:rsidR="004F2C2B">
        <w:rPr>
          <w:szCs w:val="22"/>
        </w:rPr>
        <w:t xml:space="preserve">integrated access and backhaul (IAB), where </w:t>
      </w:r>
      <w:r w:rsidR="00EB46C1">
        <w:rPr>
          <w:szCs w:val="22"/>
        </w:rPr>
        <w:t xml:space="preserve">the unlicensed spectrum </w:t>
      </w:r>
      <w:r w:rsidR="004F2C2B">
        <w:rPr>
          <w:szCs w:val="22"/>
        </w:rPr>
        <w:t>may be used</w:t>
      </w:r>
      <w:r w:rsidR="00EB46C1">
        <w:rPr>
          <w:szCs w:val="22"/>
        </w:rPr>
        <w:t xml:space="preserve"> for</w:t>
      </w:r>
      <w:r w:rsidR="004F2C2B">
        <w:rPr>
          <w:szCs w:val="22"/>
        </w:rPr>
        <w:t xml:space="preserve"> both access and</w:t>
      </w:r>
      <w:r w:rsidR="00EB46C1">
        <w:rPr>
          <w:szCs w:val="22"/>
        </w:rPr>
        <w:t xml:space="preserve"> backhaul.</w:t>
      </w:r>
      <w:r w:rsidR="00E372BF">
        <w:rPr>
          <w:szCs w:val="22"/>
        </w:rPr>
        <w:t xml:space="preserve"> </w:t>
      </w:r>
    </w:p>
    <w:p w14:paraId="428F1D3B" w14:textId="384F4966" w:rsidR="00FD28DE" w:rsidRPr="00F00506" w:rsidRDefault="005724FA" w:rsidP="00A05E64">
      <w:pPr>
        <w:pStyle w:val="BodyText"/>
        <w:rPr>
          <w:b/>
          <w:szCs w:val="22"/>
        </w:rPr>
      </w:pPr>
      <w:r w:rsidRPr="005724FA">
        <w:rPr>
          <w:b/>
          <w:szCs w:val="22"/>
        </w:rPr>
        <w:t>Proposal</w:t>
      </w:r>
      <w:r w:rsidR="00F71F37">
        <w:rPr>
          <w:b/>
          <w:szCs w:val="22"/>
        </w:rPr>
        <w:t xml:space="preserve"> 2</w:t>
      </w:r>
      <w:r w:rsidRPr="005724FA">
        <w:rPr>
          <w:b/>
          <w:szCs w:val="22"/>
        </w:rPr>
        <w:tab/>
        <w:t>Consider scenarios where NR-U serves both access and backhaul traffic</w:t>
      </w:r>
    </w:p>
    <w:p w14:paraId="19B6B20B" w14:textId="682F9633" w:rsidR="00F975CE" w:rsidRDefault="00F975CE" w:rsidP="00F975CE">
      <w:pPr>
        <w:pStyle w:val="Heading2"/>
      </w:pPr>
      <w:r>
        <w:t>Architectural scenarios</w:t>
      </w:r>
    </w:p>
    <w:p w14:paraId="56D53BBD" w14:textId="7D5139D2" w:rsidR="00FA7906" w:rsidRDefault="00E372BF" w:rsidP="00A05E64">
      <w:pPr>
        <w:pStyle w:val="BodyText"/>
        <w:rPr>
          <w:szCs w:val="22"/>
        </w:rPr>
      </w:pPr>
      <w:r>
        <w:rPr>
          <w:szCs w:val="22"/>
        </w:rPr>
        <w:t>Now</w:t>
      </w:r>
      <w:r w:rsidR="002A2B85">
        <w:rPr>
          <w:szCs w:val="22"/>
        </w:rPr>
        <w:t xml:space="preserve"> we discuss some of the </w:t>
      </w:r>
      <w:r>
        <w:rPr>
          <w:szCs w:val="22"/>
        </w:rPr>
        <w:t>a</w:t>
      </w:r>
      <w:r w:rsidR="002A2B85">
        <w:rPr>
          <w:szCs w:val="22"/>
        </w:rPr>
        <w:t>rchitectural scenarios.</w:t>
      </w:r>
      <w:r>
        <w:rPr>
          <w:szCs w:val="22"/>
        </w:rPr>
        <w:t xml:space="preserve"> An essential scenario is carrier aggregation</w:t>
      </w:r>
      <w:r w:rsidR="00973D2F">
        <w:rPr>
          <w:szCs w:val="22"/>
        </w:rPr>
        <w:t xml:space="preserve"> of NR-U Scell(s) with a licensed band NR Pcell. It allows an operator to deploy NR gNodeBs with capability to use licensed spectrum as well as unlicensed spectrum on an opportunistic basis. </w:t>
      </w:r>
      <w:r w:rsidR="00F15E5F">
        <w:rPr>
          <w:szCs w:val="22"/>
        </w:rPr>
        <w:t xml:space="preserve">It is the most robust scenario as all signaling </w:t>
      </w:r>
      <w:r w:rsidR="00994D37">
        <w:rPr>
          <w:szCs w:val="22"/>
        </w:rPr>
        <w:t>may be</w:t>
      </w:r>
      <w:r w:rsidR="00F15E5F">
        <w:rPr>
          <w:szCs w:val="22"/>
        </w:rPr>
        <w:t xml:space="preserve"> carried out on the licensed Pcell. </w:t>
      </w:r>
      <w:r w:rsidR="00994D37">
        <w:rPr>
          <w:szCs w:val="22"/>
        </w:rPr>
        <w:t xml:space="preserve">Unlicensed cells can be used for DL only operation or both downlink and uplink </w:t>
      </w:r>
      <w:r>
        <w:rPr>
          <w:szCs w:val="22"/>
        </w:rPr>
        <w:t>operation</w:t>
      </w:r>
      <w:r w:rsidR="00994D37">
        <w:rPr>
          <w:szCs w:val="22"/>
        </w:rPr>
        <w:t xml:space="preserve">. </w:t>
      </w:r>
    </w:p>
    <w:p w14:paraId="1C893164" w14:textId="0BAA04B3" w:rsidR="005F064E" w:rsidRPr="005002CA" w:rsidRDefault="00F71F37" w:rsidP="00A05E64">
      <w:pPr>
        <w:pStyle w:val="BodyText"/>
        <w:rPr>
          <w:b/>
          <w:szCs w:val="22"/>
        </w:rPr>
      </w:pPr>
      <w:r>
        <w:rPr>
          <w:b/>
          <w:szCs w:val="22"/>
        </w:rPr>
        <w:t>Proposal 4</w:t>
      </w:r>
      <w:r w:rsidR="00FA7906" w:rsidRPr="00E372BF">
        <w:rPr>
          <w:b/>
          <w:szCs w:val="22"/>
        </w:rPr>
        <w:tab/>
      </w:r>
      <w:r w:rsidR="00994D37" w:rsidRPr="00E372BF">
        <w:rPr>
          <w:b/>
          <w:szCs w:val="22"/>
        </w:rPr>
        <w:t xml:space="preserve">Carrier aggregation of NR-U Scell(s) with a licensed band NR Pcell is </w:t>
      </w:r>
      <w:r w:rsidR="0017463E" w:rsidRPr="00E372BF">
        <w:rPr>
          <w:b/>
          <w:szCs w:val="22"/>
        </w:rPr>
        <w:t>an essential scenario for NR-U deployment</w:t>
      </w:r>
      <w:r w:rsidR="00F74309" w:rsidRPr="00E372BF">
        <w:rPr>
          <w:b/>
          <w:szCs w:val="22"/>
        </w:rPr>
        <w:t xml:space="preserve"> which should be supported</w:t>
      </w:r>
    </w:p>
    <w:p w14:paraId="29F87127" w14:textId="041B0B32" w:rsidR="00A968A0" w:rsidRDefault="00A968A0" w:rsidP="00A05E64">
      <w:pPr>
        <w:pStyle w:val="BodyText"/>
        <w:rPr>
          <w:szCs w:val="22"/>
        </w:rPr>
      </w:pPr>
      <w:r>
        <w:rPr>
          <w:szCs w:val="22"/>
        </w:rPr>
        <w:t>Carrier aggregation has stringent requirements for synchronization which may not be met in case of non-collocated deployments</w:t>
      </w:r>
      <w:r w:rsidR="00F74309">
        <w:rPr>
          <w:szCs w:val="22"/>
        </w:rPr>
        <w:t xml:space="preserve"> with realistic backhaul</w:t>
      </w:r>
      <w:r>
        <w:rPr>
          <w:szCs w:val="22"/>
        </w:rPr>
        <w:t xml:space="preserve">. Dual connectivity (DC) between NR licensed and NR-U cells has less stringent needs for synchronization </w:t>
      </w:r>
      <w:r w:rsidR="005F064E">
        <w:rPr>
          <w:szCs w:val="22"/>
        </w:rPr>
        <w:t>and can thus be used</w:t>
      </w:r>
      <w:r>
        <w:rPr>
          <w:szCs w:val="22"/>
        </w:rPr>
        <w:t xml:space="preserve"> for non-collocated deployments. DC requires UL control signaling support on unlicensed cells. </w:t>
      </w:r>
    </w:p>
    <w:p w14:paraId="563893F5" w14:textId="160394AD" w:rsidR="005F064E" w:rsidRPr="005002CA" w:rsidRDefault="00F71F37" w:rsidP="00A05E64">
      <w:pPr>
        <w:pStyle w:val="BodyText"/>
        <w:rPr>
          <w:b/>
          <w:szCs w:val="22"/>
        </w:rPr>
      </w:pPr>
      <w:r>
        <w:rPr>
          <w:b/>
          <w:szCs w:val="22"/>
        </w:rPr>
        <w:t>Proposal 5</w:t>
      </w:r>
      <w:r w:rsidR="00A968A0" w:rsidRPr="00E372BF">
        <w:rPr>
          <w:b/>
          <w:szCs w:val="22"/>
        </w:rPr>
        <w:tab/>
        <w:t xml:space="preserve">Dual connectivity </w:t>
      </w:r>
      <w:r w:rsidR="00F74309" w:rsidRPr="00E372BF">
        <w:rPr>
          <w:b/>
          <w:szCs w:val="22"/>
        </w:rPr>
        <w:t>between</w:t>
      </w:r>
      <w:r w:rsidR="00A968A0" w:rsidRPr="00E372BF">
        <w:rPr>
          <w:b/>
          <w:szCs w:val="22"/>
        </w:rPr>
        <w:t xml:space="preserve"> NR-U </w:t>
      </w:r>
      <w:r w:rsidR="005F064E" w:rsidRPr="00E372BF">
        <w:rPr>
          <w:b/>
          <w:szCs w:val="22"/>
        </w:rPr>
        <w:t xml:space="preserve">PScell </w:t>
      </w:r>
      <w:r w:rsidR="00A968A0" w:rsidRPr="00E372BF">
        <w:rPr>
          <w:b/>
          <w:szCs w:val="22"/>
        </w:rPr>
        <w:t xml:space="preserve">and NR licensed </w:t>
      </w:r>
      <w:r w:rsidR="005F064E" w:rsidRPr="00E372BF">
        <w:rPr>
          <w:b/>
          <w:szCs w:val="22"/>
        </w:rPr>
        <w:t>Pcell</w:t>
      </w:r>
      <w:r w:rsidR="00A968A0" w:rsidRPr="00E372BF">
        <w:rPr>
          <w:b/>
          <w:szCs w:val="22"/>
        </w:rPr>
        <w:t xml:space="preserve"> should be supported </w:t>
      </w:r>
    </w:p>
    <w:p w14:paraId="2713FCFF" w14:textId="5A0FC825" w:rsidR="00F74309" w:rsidRDefault="00F74309" w:rsidP="00A05E64">
      <w:pPr>
        <w:pStyle w:val="BodyText"/>
        <w:rPr>
          <w:szCs w:val="22"/>
        </w:rPr>
      </w:pPr>
      <w:r>
        <w:rPr>
          <w:szCs w:val="22"/>
        </w:rPr>
        <w:lastRenderedPageBreak/>
        <w:t xml:space="preserve">Dual connectivity is also possible between </w:t>
      </w:r>
      <w:r w:rsidR="005F064E">
        <w:rPr>
          <w:szCs w:val="22"/>
        </w:rPr>
        <w:t xml:space="preserve">NR-U and </w:t>
      </w:r>
      <w:r>
        <w:rPr>
          <w:szCs w:val="22"/>
        </w:rPr>
        <w:t>LTE licensed</w:t>
      </w:r>
      <w:r w:rsidR="005F064E">
        <w:rPr>
          <w:szCs w:val="22"/>
        </w:rPr>
        <w:t xml:space="preserve"> cell</w:t>
      </w:r>
      <w:r>
        <w:rPr>
          <w:szCs w:val="22"/>
        </w:rPr>
        <w:t xml:space="preserve">. </w:t>
      </w:r>
      <w:r w:rsidR="005F064E">
        <w:rPr>
          <w:szCs w:val="22"/>
        </w:rPr>
        <w:t>Considering</w:t>
      </w:r>
      <w:r>
        <w:rPr>
          <w:szCs w:val="22"/>
        </w:rPr>
        <w:t xml:space="preserve"> </w:t>
      </w:r>
      <w:r w:rsidR="005F064E">
        <w:rPr>
          <w:szCs w:val="22"/>
        </w:rPr>
        <w:t xml:space="preserve">shortage </w:t>
      </w:r>
      <w:r>
        <w:rPr>
          <w:szCs w:val="22"/>
        </w:rPr>
        <w:t xml:space="preserve">of new spectrum for NR, this may be an important scenario to consider. </w:t>
      </w:r>
      <w:r w:rsidR="005F064E">
        <w:rPr>
          <w:szCs w:val="22"/>
        </w:rPr>
        <w:t xml:space="preserve">It may also allow operators to utilize NR-U for offloading traffic from existing LTE deployments. </w:t>
      </w:r>
    </w:p>
    <w:p w14:paraId="6D641942" w14:textId="5FB0D9E5" w:rsidR="00CC7969" w:rsidRPr="00E372BF" w:rsidRDefault="00F71F37" w:rsidP="00CC7969">
      <w:pPr>
        <w:pStyle w:val="BodyText"/>
        <w:rPr>
          <w:b/>
          <w:szCs w:val="22"/>
        </w:rPr>
      </w:pPr>
      <w:r>
        <w:rPr>
          <w:b/>
          <w:szCs w:val="22"/>
        </w:rPr>
        <w:t>Proposal 6</w:t>
      </w:r>
      <w:r w:rsidR="00CC7969" w:rsidRPr="00E372BF">
        <w:rPr>
          <w:b/>
          <w:szCs w:val="22"/>
        </w:rPr>
        <w:tab/>
        <w:t xml:space="preserve">Dual connectivity between NR-U PScell and LTE licensed Pcell should be supported </w:t>
      </w:r>
    </w:p>
    <w:p w14:paraId="6EBAEB10" w14:textId="546CCF93" w:rsidR="00CC7969" w:rsidRDefault="00CC7969" w:rsidP="00A05E64">
      <w:pPr>
        <w:pStyle w:val="BodyText"/>
        <w:rPr>
          <w:szCs w:val="22"/>
        </w:rPr>
      </w:pPr>
    </w:p>
    <w:p w14:paraId="4C7737C5" w14:textId="76DC6D11" w:rsidR="0003180C" w:rsidRDefault="0003180C" w:rsidP="0003180C">
      <w:pPr>
        <w:pStyle w:val="Heading2"/>
      </w:pPr>
      <w:r>
        <w:t>Spectrum scenarios</w:t>
      </w:r>
    </w:p>
    <w:p w14:paraId="4A3BE567" w14:textId="77777777" w:rsidR="0003180C" w:rsidRPr="005002CA" w:rsidRDefault="0003180C" w:rsidP="0003180C">
      <w:pPr>
        <w:pStyle w:val="BodyText"/>
        <w:rPr>
          <w:sz w:val="4"/>
        </w:rPr>
      </w:pPr>
    </w:p>
    <w:p w14:paraId="64B4D9DE" w14:textId="0E546F03" w:rsidR="003D7C53" w:rsidRPr="00A059F4" w:rsidRDefault="003D7C53" w:rsidP="003D7C53">
      <w:pPr>
        <w:pStyle w:val="BodyText"/>
        <w:numPr>
          <w:ilvl w:val="0"/>
          <w:numId w:val="44"/>
        </w:numPr>
        <w:rPr>
          <w:szCs w:val="22"/>
        </w:rPr>
      </w:pPr>
      <w:r w:rsidRPr="00A059F4">
        <w:rPr>
          <w:szCs w:val="22"/>
        </w:rPr>
        <w:t xml:space="preserve">2.4 GHz and below. </w:t>
      </w:r>
      <w:r w:rsidR="00A059F4" w:rsidRPr="00A059F4">
        <w:rPr>
          <w:szCs w:val="22"/>
        </w:rPr>
        <w:t>2.4 GHz and below spectrum is highly congested and offers limited bandwidth. Therefore, w</w:t>
      </w:r>
      <w:r w:rsidR="00A76ED4" w:rsidRPr="00A059F4">
        <w:rPr>
          <w:szCs w:val="22"/>
        </w:rPr>
        <w:t xml:space="preserve">e do not consider </w:t>
      </w:r>
      <w:r w:rsidR="005002CA" w:rsidRPr="00A059F4">
        <w:rPr>
          <w:szCs w:val="22"/>
        </w:rPr>
        <w:t xml:space="preserve">bands 2.4 GHz and below </w:t>
      </w:r>
      <w:r w:rsidR="00A76ED4" w:rsidRPr="00A059F4">
        <w:rPr>
          <w:szCs w:val="22"/>
        </w:rPr>
        <w:t>suitable</w:t>
      </w:r>
      <w:r w:rsidR="005002CA" w:rsidRPr="00A059F4">
        <w:rPr>
          <w:szCs w:val="22"/>
        </w:rPr>
        <w:t xml:space="preserve"> for NR-U</w:t>
      </w:r>
      <w:r w:rsidR="00A76ED4" w:rsidRPr="00A059F4">
        <w:rPr>
          <w:szCs w:val="22"/>
        </w:rPr>
        <w:t xml:space="preserve"> study</w:t>
      </w:r>
      <w:r w:rsidR="005002CA" w:rsidRPr="00A059F4">
        <w:rPr>
          <w:szCs w:val="22"/>
        </w:rPr>
        <w:t xml:space="preserve">. </w:t>
      </w:r>
    </w:p>
    <w:p w14:paraId="7B1BFFA1" w14:textId="4A38BC6F" w:rsidR="003D7C53" w:rsidRPr="00A059F4" w:rsidRDefault="003D7C53" w:rsidP="003D7C53">
      <w:pPr>
        <w:pStyle w:val="BodyText"/>
        <w:numPr>
          <w:ilvl w:val="0"/>
          <w:numId w:val="44"/>
        </w:numPr>
        <w:rPr>
          <w:szCs w:val="22"/>
        </w:rPr>
      </w:pPr>
      <w:r w:rsidRPr="00A059F4">
        <w:rPr>
          <w:szCs w:val="22"/>
        </w:rPr>
        <w:t xml:space="preserve">3.5 GHz. </w:t>
      </w:r>
      <w:r w:rsidRPr="00A059F4">
        <w:rPr>
          <w:rFonts w:eastAsia="Malgun Gothic"/>
          <w:szCs w:val="22"/>
          <w:lang w:eastAsia="zh-CN"/>
        </w:rPr>
        <w:t xml:space="preserve">A good </w:t>
      </w:r>
      <w:r w:rsidR="00A059F4" w:rsidRPr="00A059F4">
        <w:rPr>
          <w:rFonts w:eastAsia="Malgun Gothic"/>
          <w:szCs w:val="22"/>
          <w:lang w:eastAsia="zh-CN"/>
        </w:rPr>
        <w:t>amount</w:t>
      </w:r>
      <w:r w:rsidRPr="00A059F4">
        <w:rPr>
          <w:rFonts w:eastAsia="Malgun Gothic"/>
          <w:szCs w:val="22"/>
          <w:lang w:eastAsia="zh-CN"/>
        </w:rPr>
        <w:t xml:space="preserve"> of CBRS band is slated for unlicensed (GAA) use in the US. Coupled with PAL, it offers an attractive mid-range option for eMBB and other solutions. Therefore, we consider 3.5 GHz as a </w:t>
      </w:r>
      <w:r w:rsidRPr="00A059F4">
        <w:rPr>
          <w:rFonts w:eastAsia="Malgun Gothic"/>
          <w:szCs w:val="22"/>
          <w:lang w:eastAsia="zh-CN"/>
        </w:rPr>
        <w:t>good</w:t>
      </w:r>
      <w:r w:rsidRPr="00A059F4">
        <w:rPr>
          <w:rFonts w:eastAsia="Malgun Gothic"/>
          <w:szCs w:val="22"/>
          <w:lang w:eastAsia="zh-CN"/>
        </w:rPr>
        <w:t xml:space="preserve"> candidate for NR-U</w:t>
      </w:r>
      <w:r w:rsidRPr="00A059F4">
        <w:rPr>
          <w:rFonts w:eastAsia="Malgun Gothic"/>
          <w:szCs w:val="22"/>
          <w:lang w:eastAsia="zh-CN"/>
        </w:rPr>
        <w:t xml:space="preserve"> study.</w:t>
      </w:r>
    </w:p>
    <w:p w14:paraId="6BFBE385" w14:textId="390FA2C1" w:rsidR="003D7C53" w:rsidRPr="00A059F4" w:rsidRDefault="003D7C53" w:rsidP="003D7C53">
      <w:pPr>
        <w:pStyle w:val="BodyText"/>
        <w:numPr>
          <w:ilvl w:val="0"/>
          <w:numId w:val="44"/>
        </w:numPr>
        <w:rPr>
          <w:szCs w:val="22"/>
        </w:rPr>
      </w:pPr>
      <w:r w:rsidRPr="00A059F4">
        <w:rPr>
          <w:szCs w:val="22"/>
        </w:rPr>
        <w:t xml:space="preserve">5 GHz. </w:t>
      </w:r>
      <w:r w:rsidRPr="00A059F4">
        <w:rPr>
          <w:rFonts w:eastAsia="Malgun Gothic"/>
          <w:szCs w:val="22"/>
          <w:lang w:eastAsia="zh-CN"/>
        </w:rPr>
        <w:t xml:space="preserve">LAA is already being deployed in this band </w:t>
      </w:r>
      <w:r w:rsidRPr="00A059F4">
        <w:rPr>
          <w:rFonts w:eastAsia="Malgun Gothic"/>
          <w:szCs w:val="22"/>
          <w:lang w:eastAsia="zh-CN"/>
        </w:rPr>
        <w:t>and</w:t>
      </w:r>
      <w:r w:rsidRPr="00A059F4">
        <w:rPr>
          <w:rFonts w:eastAsia="Malgun Gothic"/>
          <w:szCs w:val="22"/>
          <w:lang w:eastAsia="zh-CN"/>
        </w:rPr>
        <w:t xml:space="preserve"> eLAA </w:t>
      </w:r>
      <w:r w:rsidRPr="00A059F4">
        <w:rPr>
          <w:rFonts w:eastAsia="Malgun Gothic"/>
          <w:szCs w:val="22"/>
          <w:lang w:eastAsia="zh-CN"/>
        </w:rPr>
        <w:t xml:space="preserve">is </w:t>
      </w:r>
      <w:r w:rsidRPr="00A059F4">
        <w:rPr>
          <w:rFonts w:eastAsia="Malgun Gothic"/>
          <w:szCs w:val="22"/>
          <w:lang w:eastAsia="zh-CN"/>
        </w:rPr>
        <w:t xml:space="preserve">expected to continue this trend. With Wi-Fi being present in this band, we do not expect NR-U to offer significant gains over LAA / eLAA. However, due to global regulatory support and extensive eco-system 5 GHz </w:t>
      </w:r>
      <w:r w:rsidR="00A059F4">
        <w:rPr>
          <w:rFonts w:eastAsia="Malgun Gothic"/>
          <w:szCs w:val="22"/>
          <w:lang w:eastAsia="zh-CN"/>
        </w:rPr>
        <w:t>i</w:t>
      </w:r>
      <w:r w:rsidRPr="00A059F4">
        <w:rPr>
          <w:rFonts w:eastAsia="Malgun Gothic"/>
          <w:szCs w:val="22"/>
          <w:lang w:eastAsia="zh-CN"/>
        </w:rPr>
        <w:t xml:space="preserve">s </w:t>
      </w:r>
      <w:r w:rsidRPr="00A059F4">
        <w:rPr>
          <w:rFonts w:eastAsia="Malgun Gothic"/>
          <w:szCs w:val="22"/>
          <w:lang w:eastAsia="zh-CN"/>
        </w:rPr>
        <w:t>a good</w:t>
      </w:r>
      <w:r w:rsidRPr="00A059F4">
        <w:rPr>
          <w:rFonts w:eastAsia="Malgun Gothic"/>
          <w:szCs w:val="22"/>
          <w:lang w:eastAsia="zh-CN"/>
        </w:rPr>
        <w:t xml:space="preserve"> candidate</w:t>
      </w:r>
      <w:r w:rsidR="00A059F4">
        <w:rPr>
          <w:rFonts w:eastAsia="Malgun Gothic"/>
          <w:szCs w:val="22"/>
          <w:lang w:eastAsia="zh-CN"/>
        </w:rPr>
        <w:t xml:space="preserve"> for NR-U study</w:t>
      </w:r>
    </w:p>
    <w:p w14:paraId="63D0DD17" w14:textId="63E959D8" w:rsidR="003D7C53" w:rsidRPr="00A059F4" w:rsidRDefault="003D7C53" w:rsidP="003D7C53">
      <w:pPr>
        <w:pStyle w:val="BodyText"/>
        <w:numPr>
          <w:ilvl w:val="0"/>
          <w:numId w:val="44"/>
        </w:numPr>
        <w:rPr>
          <w:szCs w:val="22"/>
        </w:rPr>
      </w:pPr>
      <w:r w:rsidRPr="00A059F4">
        <w:rPr>
          <w:szCs w:val="22"/>
        </w:rPr>
        <w:t xml:space="preserve">6 GHz. </w:t>
      </w:r>
      <w:r w:rsidR="00A76ED4" w:rsidRPr="00A059F4">
        <w:rPr>
          <w:szCs w:val="22"/>
        </w:rPr>
        <w:t>Currently there are about 50,000 licensees (or 100,000 microwave links) in the 5.925-7.125 GHz band</w:t>
      </w:r>
      <w:r w:rsidR="00A059F4">
        <w:rPr>
          <w:szCs w:val="22"/>
        </w:rPr>
        <w:t xml:space="preserve"> in the U.S.</w:t>
      </w:r>
      <w:r w:rsidR="00A76ED4" w:rsidRPr="00A059F4">
        <w:rPr>
          <w:szCs w:val="22"/>
        </w:rPr>
        <w:t>, many of which support public safety and critical infrastructure.  The 6 GHz microwave bands are the only remaining spectrum for fixed point-to-point services below 10 GHz and vital for long-haul applications. Path lengths in the 6 GHz band average 30 km, i.e. twice the length of paths in the 11 GHz band so relocation of incumbent users appears both economically and technically infeasible.  The fixed microwave systems at 6 GHz are engineered for extreme reliability, making them highly susceptible to harmful interference even at significant distances.  There are proposals for low power unlicensed or licensed underlays in the band on a shared or coordinated basis. Interference from low power systems will resemble natural fading and will manifest itself as a gradual degradation of statistical reliability over time.  Because fixed microwave systems are not designed to monitor for interfering signals, interference from shared users will be difficult to detect. Even if the interference could be identified at the time it is occurring, there appears to be no feasible way to identify the interferer and remediate the problem. Therefore, neither sharing nor relocation appears to be feasible for re-purposing the 6 GHz fixed microwave allocation. For this reason we do not consider 6 GHz suitable for NR-U studies.</w:t>
      </w:r>
    </w:p>
    <w:p w14:paraId="0FB1BDEF" w14:textId="671A6831" w:rsidR="003D7C53" w:rsidRPr="00A059F4" w:rsidRDefault="003D7C53" w:rsidP="003D7C53">
      <w:pPr>
        <w:pStyle w:val="BodyText"/>
        <w:numPr>
          <w:ilvl w:val="0"/>
          <w:numId w:val="44"/>
        </w:numPr>
        <w:rPr>
          <w:szCs w:val="22"/>
        </w:rPr>
      </w:pPr>
      <w:r w:rsidRPr="00A059F4">
        <w:rPr>
          <w:szCs w:val="22"/>
        </w:rPr>
        <w:t>37 GHz. D</w:t>
      </w:r>
      <w:r w:rsidRPr="00A059F4">
        <w:rPr>
          <w:szCs w:val="22"/>
        </w:rPr>
        <w:t xml:space="preserve">ue to unclear regulatory status and regional support, 37 GHz is not a good candidate for NR-U in the first phase. </w:t>
      </w:r>
    </w:p>
    <w:p w14:paraId="55F42771" w14:textId="27E38A60" w:rsidR="00106CAC" w:rsidRPr="00A059F4" w:rsidRDefault="00A059F4" w:rsidP="003D7C53">
      <w:pPr>
        <w:pStyle w:val="BodyText"/>
        <w:numPr>
          <w:ilvl w:val="0"/>
          <w:numId w:val="44"/>
        </w:numPr>
        <w:rPr>
          <w:szCs w:val="22"/>
        </w:rPr>
      </w:pPr>
      <w:r w:rsidRPr="00A059F4">
        <w:rPr>
          <w:szCs w:val="22"/>
        </w:rPr>
        <w:t xml:space="preserve">60 GHz. </w:t>
      </w:r>
      <w:r w:rsidRPr="00A059F4">
        <w:rPr>
          <w:rFonts w:eastAsia="Malgun Gothic"/>
          <w:szCs w:val="22"/>
          <w:lang w:eastAsia="zh-CN"/>
        </w:rPr>
        <w:t xml:space="preserve">60 GHz </w:t>
      </w:r>
      <w:r>
        <w:rPr>
          <w:rFonts w:eastAsia="Malgun Gothic"/>
          <w:szCs w:val="22"/>
          <w:lang w:eastAsia="zh-CN"/>
        </w:rPr>
        <w:t xml:space="preserve">band </w:t>
      </w:r>
      <w:r w:rsidRPr="00A059F4">
        <w:rPr>
          <w:rFonts w:eastAsia="Malgun Gothic"/>
          <w:szCs w:val="22"/>
          <w:lang w:eastAsia="zh-CN"/>
        </w:rPr>
        <w:t xml:space="preserve">offers </w:t>
      </w:r>
      <w:r w:rsidRPr="00A059F4">
        <w:rPr>
          <w:rFonts w:eastAsia="Malgun Gothic"/>
          <w:szCs w:val="22"/>
          <w:lang w:eastAsia="zh-CN"/>
        </w:rPr>
        <w:t>large bandwidth, high EIRP limits (for P2P) and a stable and global regulatory support</w:t>
      </w:r>
      <w:r w:rsidRPr="00A059F4">
        <w:rPr>
          <w:rFonts w:eastAsia="Malgun Gothic"/>
          <w:szCs w:val="22"/>
          <w:lang w:eastAsia="zh-CN"/>
        </w:rPr>
        <w:t>. Therefore, this band is a</w:t>
      </w:r>
      <w:r w:rsidRPr="00A059F4">
        <w:rPr>
          <w:rFonts w:eastAsia="Malgun Gothic"/>
          <w:szCs w:val="22"/>
          <w:lang w:eastAsia="zh-CN"/>
        </w:rPr>
        <w:t xml:space="preserve"> good candidate for NR-U</w:t>
      </w:r>
      <w:r w:rsidRPr="00A059F4">
        <w:rPr>
          <w:szCs w:val="22"/>
        </w:rPr>
        <w:t xml:space="preserve"> study</w:t>
      </w:r>
    </w:p>
    <w:p w14:paraId="297C7745" w14:textId="125D66AC" w:rsidR="0003180C" w:rsidRPr="00106CAC" w:rsidRDefault="00106CAC" w:rsidP="0003180C">
      <w:pPr>
        <w:pStyle w:val="BodyText"/>
        <w:rPr>
          <w:b/>
        </w:rPr>
      </w:pPr>
      <w:r w:rsidRPr="00106CAC">
        <w:rPr>
          <w:b/>
        </w:rPr>
        <w:t>Proposal</w:t>
      </w:r>
      <w:r w:rsidR="00F71F37">
        <w:rPr>
          <w:b/>
        </w:rPr>
        <w:t xml:space="preserve"> 7</w:t>
      </w:r>
      <w:r w:rsidRPr="00106CAC">
        <w:rPr>
          <w:b/>
        </w:rPr>
        <w:tab/>
      </w:r>
      <w:r w:rsidR="0003180C" w:rsidRPr="00106CAC">
        <w:rPr>
          <w:b/>
        </w:rPr>
        <w:t xml:space="preserve">Prioritize 3.5, </w:t>
      </w:r>
      <w:r w:rsidR="003E0225">
        <w:rPr>
          <w:b/>
        </w:rPr>
        <w:t>5</w:t>
      </w:r>
      <w:bookmarkStart w:id="9" w:name="_GoBack"/>
      <w:bookmarkEnd w:id="9"/>
      <w:r w:rsidRPr="00106CAC">
        <w:rPr>
          <w:b/>
        </w:rPr>
        <w:t xml:space="preserve"> and</w:t>
      </w:r>
      <w:r w:rsidR="0003180C" w:rsidRPr="00106CAC">
        <w:rPr>
          <w:b/>
        </w:rPr>
        <w:t xml:space="preserve"> </w:t>
      </w:r>
      <w:r w:rsidRPr="00106CAC">
        <w:rPr>
          <w:b/>
        </w:rPr>
        <w:t>60 GHz for NR-U</w:t>
      </w:r>
      <w:r w:rsidR="00A059F4">
        <w:rPr>
          <w:b/>
        </w:rPr>
        <w:t xml:space="preserve"> study</w:t>
      </w:r>
    </w:p>
    <w:p w14:paraId="2C71EC21" w14:textId="77777777" w:rsidR="0003180C" w:rsidRPr="0003180C" w:rsidRDefault="0003180C" w:rsidP="0003180C">
      <w:pPr>
        <w:pStyle w:val="BodyText"/>
      </w:pPr>
    </w:p>
    <w:p w14:paraId="07CC0E16"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3A451DB6" w14:textId="357C7CE4" w:rsidR="004549CC" w:rsidRDefault="004549CC" w:rsidP="004549CC">
      <w:pPr>
        <w:pStyle w:val="TOC1"/>
        <w:rPr>
          <w:b w:val="0"/>
          <w:bCs/>
          <w:sz w:val="22"/>
        </w:rPr>
      </w:pPr>
      <w:r w:rsidRPr="00A05E64">
        <w:rPr>
          <w:b w:val="0"/>
          <w:bCs/>
          <w:sz w:val="22"/>
        </w:rPr>
        <w:t xml:space="preserve">Based on the discussion in section 2 we make </w:t>
      </w:r>
      <w:r w:rsidR="00E372BF">
        <w:rPr>
          <w:b w:val="0"/>
          <w:bCs/>
          <w:sz w:val="22"/>
        </w:rPr>
        <w:t>the following proposals:</w:t>
      </w:r>
    </w:p>
    <w:p w14:paraId="3BD0CDAD" w14:textId="77777777" w:rsidR="00E372BF" w:rsidRPr="00A05E64" w:rsidRDefault="00E372BF" w:rsidP="004549CC">
      <w:pPr>
        <w:pStyle w:val="TOC1"/>
        <w:rPr>
          <w:b w:val="0"/>
          <w:bCs/>
          <w:sz w:val="22"/>
        </w:rPr>
      </w:pPr>
    </w:p>
    <w:p w14:paraId="56D5B121" w14:textId="0B8EEDFF" w:rsidR="00F71F37" w:rsidRPr="005724FA" w:rsidRDefault="00F71F37" w:rsidP="00F71F37">
      <w:pPr>
        <w:pStyle w:val="BodyText"/>
        <w:rPr>
          <w:b/>
          <w:szCs w:val="22"/>
        </w:rPr>
      </w:pPr>
      <w:r w:rsidRPr="005724FA">
        <w:rPr>
          <w:b/>
          <w:szCs w:val="22"/>
        </w:rPr>
        <w:t>Proposal</w:t>
      </w:r>
      <w:r>
        <w:rPr>
          <w:b/>
          <w:szCs w:val="22"/>
        </w:rPr>
        <w:t xml:space="preserve"> 1</w:t>
      </w:r>
      <w:r w:rsidRPr="005724FA">
        <w:rPr>
          <w:b/>
          <w:szCs w:val="22"/>
        </w:rPr>
        <w:tab/>
      </w:r>
      <w:r>
        <w:rPr>
          <w:b/>
          <w:szCs w:val="22"/>
        </w:rPr>
        <w:t xml:space="preserve">Consider improved mobile data offload (DL and UL) for NR-U </w:t>
      </w:r>
    </w:p>
    <w:p w14:paraId="1964BEB6" w14:textId="054D110E" w:rsidR="00F71F37" w:rsidRPr="005724FA" w:rsidRDefault="00F71F37" w:rsidP="00F71F37">
      <w:pPr>
        <w:pStyle w:val="BodyText"/>
        <w:rPr>
          <w:b/>
          <w:szCs w:val="22"/>
        </w:rPr>
      </w:pPr>
      <w:r w:rsidRPr="005724FA">
        <w:rPr>
          <w:b/>
          <w:szCs w:val="22"/>
        </w:rPr>
        <w:t>Proposal</w:t>
      </w:r>
      <w:r>
        <w:rPr>
          <w:b/>
          <w:szCs w:val="22"/>
        </w:rPr>
        <w:t xml:space="preserve"> 2</w:t>
      </w:r>
      <w:r w:rsidRPr="005724FA">
        <w:rPr>
          <w:b/>
          <w:szCs w:val="22"/>
        </w:rPr>
        <w:tab/>
        <w:t>Consider scenarios where NR-U serves both access and backhaul traffic</w:t>
      </w:r>
    </w:p>
    <w:p w14:paraId="6827640E" w14:textId="581D07EA" w:rsidR="00E372BF" w:rsidRPr="00E372BF" w:rsidRDefault="00F00506" w:rsidP="00E372BF">
      <w:pPr>
        <w:pStyle w:val="BodyText"/>
        <w:rPr>
          <w:b/>
          <w:szCs w:val="22"/>
        </w:rPr>
      </w:pPr>
      <w:r>
        <w:rPr>
          <w:b/>
          <w:szCs w:val="22"/>
        </w:rPr>
        <w:t>Proposal 3</w:t>
      </w:r>
      <w:r w:rsidR="00E372BF" w:rsidRPr="00E372BF">
        <w:rPr>
          <w:b/>
          <w:szCs w:val="22"/>
        </w:rPr>
        <w:tab/>
        <w:t>Carrier aggregation of NR-U Scell(s) with a licensed band NR Pcell is an essential scenario for NR-U deployment which should be supported</w:t>
      </w:r>
    </w:p>
    <w:p w14:paraId="515BCAC9" w14:textId="6E8BD466" w:rsidR="00E372BF" w:rsidRPr="00E372BF" w:rsidRDefault="00F00506" w:rsidP="00E372BF">
      <w:pPr>
        <w:pStyle w:val="BodyText"/>
        <w:rPr>
          <w:b/>
          <w:szCs w:val="22"/>
        </w:rPr>
      </w:pPr>
      <w:r>
        <w:rPr>
          <w:b/>
          <w:szCs w:val="22"/>
        </w:rPr>
        <w:t>Proposal 4</w:t>
      </w:r>
      <w:r w:rsidR="00E372BF" w:rsidRPr="00E372BF">
        <w:rPr>
          <w:b/>
          <w:szCs w:val="22"/>
        </w:rPr>
        <w:tab/>
        <w:t xml:space="preserve">Dual connectivity between NR-U PScell and NR licensed Pcell should be supported </w:t>
      </w:r>
    </w:p>
    <w:p w14:paraId="2AB9FAA1" w14:textId="57225585" w:rsidR="00E372BF" w:rsidRDefault="00F00506" w:rsidP="00E372BF">
      <w:pPr>
        <w:pStyle w:val="BodyText"/>
        <w:rPr>
          <w:b/>
          <w:szCs w:val="22"/>
        </w:rPr>
      </w:pPr>
      <w:r>
        <w:rPr>
          <w:b/>
          <w:szCs w:val="22"/>
        </w:rPr>
        <w:t>Proposal 5</w:t>
      </w:r>
      <w:r w:rsidR="00E372BF" w:rsidRPr="00E372BF">
        <w:rPr>
          <w:b/>
          <w:szCs w:val="22"/>
        </w:rPr>
        <w:tab/>
        <w:t xml:space="preserve">Dual connectivity between NR-U PScell and LTE licensed Pcell should be supported </w:t>
      </w:r>
    </w:p>
    <w:p w14:paraId="587E97B5" w14:textId="407926F1" w:rsidR="00F71F37" w:rsidRPr="00106CAC" w:rsidRDefault="00F00506" w:rsidP="00F71F37">
      <w:pPr>
        <w:pStyle w:val="BodyText"/>
        <w:rPr>
          <w:b/>
        </w:rPr>
      </w:pPr>
      <w:r>
        <w:rPr>
          <w:b/>
        </w:rPr>
        <w:lastRenderedPageBreak/>
        <w:t>Proposal 6</w:t>
      </w:r>
      <w:r w:rsidR="00920B43">
        <w:rPr>
          <w:b/>
        </w:rPr>
        <w:tab/>
        <w:t>Prioritize 3.5, 5</w:t>
      </w:r>
      <w:r w:rsidR="00F71F37" w:rsidRPr="00106CAC">
        <w:rPr>
          <w:b/>
        </w:rPr>
        <w:t xml:space="preserve"> and 60 GHz for NR-U</w:t>
      </w:r>
      <w:r w:rsidR="00A059F4">
        <w:rPr>
          <w:b/>
        </w:rPr>
        <w:t xml:space="preserve"> study</w:t>
      </w:r>
    </w:p>
    <w:p w14:paraId="5FFF8316" w14:textId="77777777" w:rsidR="00E372BF" w:rsidRPr="00E372BF" w:rsidRDefault="00E372BF" w:rsidP="00E372BF">
      <w:pPr>
        <w:pStyle w:val="BodyText"/>
        <w:rPr>
          <w:b/>
          <w:szCs w:val="22"/>
        </w:rPr>
      </w:pPr>
    </w:p>
    <w:p w14:paraId="523E0CE0" w14:textId="77777777"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6BEED884" w14:textId="77777777" w:rsidR="00BD2520" w:rsidRPr="00562789" w:rsidRDefault="00BD2520" w:rsidP="00BD2520">
      <w:pPr>
        <w:pStyle w:val="ListParagraph"/>
        <w:numPr>
          <w:ilvl w:val="0"/>
          <w:numId w:val="43"/>
        </w:numPr>
        <w:spacing w:after="180"/>
        <w:ind w:left="450" w:hanging="450"/>
        <w:contextualSpacing/>
        <w:rPr>
          <w:rFonts w:eastAsia="SimSun"/>
          <w:color w:val="000000"/>
          <w:lang w:eastAsia="zh-CN"/>
        </w:rPr>
      </w:pPr>
      <w:r w:rsidRPr="00C21846">
        <w:rPr>
          <w:rFonts w:eastAsia="SimSun"/>
          <w:color w:val="000000"/>
          <w:lang w:eastAsia="zh-CN"/>
        </w:rPr>
        <w:t>RP-170828, New SID on NR-based Access to Unlicensed Spectrum, 3GPP TSG RAN Meeting #75, Qualcomm, March, 2017</w:t>
      </w:r>
    </w:p>
    <w:p w14:paraId="3550302E" w14:textId="77777777" w:rsidR="00022DEC" w:rsidRPr="00943C76" w:rsidRDefault="00022DEC" w:rsidP="004549CC">
      <w:pPr>
        <w:rPr>
          <w:b/>
          <w:lang w:val="en-GB"/>
        </w:rPr>
      </w:pPr>
    </w:p>
    <w:sectPr w:rsidR="00022DEC" w:rsidRPr="00943C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91F3F" w14:textId="77777777" w:rsidR="009D2265" w:rsidRDefault="009D2265">
      <w:r>
        <w:separator/>
      </w:r>
    </w:p>
  </w:endnote>
  <w:endnote w:type="continuationSeparator" w:id="0">
    <w:p w14:paraId="7BC6DA9B" w14:textId="77777777" w:rsidR="009D2265" w:rsidRDefault="009D2265">
      <w:r>
        <w:continuationSeparator/>
      </w:r>
    </w:p>
  </w:endnote>
  <w:endnote w:type="continuationNotice" w:id="1">
    <w:p w14:paraId="7CEA2478" w14:textId="77777777" w:rsidR="009D2265" w:rsidRDefault="009D2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62098" w14:textId="77777777" w:rsidR="009D2265" w:rsidRDefault="009D2265">
      <w:r>
        <w:separator/>
      </w:r>
    </w:p>
  </w:footnote>
  <w:footnote w:type="continuationSeparator" w:id="0">
    <w:p w14:paraId="308C7D54" w14:textId="77777777" w:rsidR="009D2265" w:rsidRDefault="009D2265">
      <w:r>
        <w:continuationSeparator/>
      </w:r>
    </w:p>
  </w:footnote>
  <w:footnote w:type="continuationNotice" w:id="1">
    <w:p w14:paraId="4EF4BEC1" w14:textId="77777777" w:rsidR="009D2265" w:rsidRDefault="009D226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D6697D"/>
    <w:multiLevelType w:val="hybridMultilevel"/>
    <w:tmpl w:val="6DFCED52"/>
    <w:lvl w:ilvl="0" w:tplc="B0E008E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0"/>
  </w:num>
  <w:num w:numId="3">
    <w:abstractNumId w:val="21"/>
  </w:num>
  <w:num w:numId="4">
    <w:abstractNumId w:val="5"/>
  </w:num>
  <w:num w:numId="5">
    <w:abstractNumId w:val="41"/>
  </w:num>
  <w:num w:numId="6">
    <w:abstractNumId w:val="35"/>
  </w:num>
  <w:num w:numId="7">
    <w:abstractNumId w:val="30"/>
  </w:num>
  <w:num w:numId="8">
    <w:abstractNumId w:val="24"/>
  </w:num>
  <w:num w:numId="9">
    <w:abstractNumId w:val="12"/>
  </w:num>
  <w:num w:numId="10">
    <w:abstractNumId w:val="33"/>
  </w:num>
  <w:num w:numId="11">
    <w:abstractNumId w:val="20"/>
  </w:num>
  <w:num w:numId="12">
    <w:abstractNumId w:val="31"/>
  </w:num>
  <w:num w:numId="13">
    <w:abstractNumId w:val="29"/>
  </w:num>
  <w:num w:numId="14">
    <w:abstractNumId w:val="19"/>
  </w:num>
  <w:num w:numId="15">
    <w:abstractNumId w:val="9"/>
  </w:num>
  <w:num w:numId="16">
    <w:abstractNumId w:val="8"/>
  </w:num>
  <w:num w:numId="17">
    <w:abstractNumId w:val="37"/>
  </w:num>
  <w:num w:numId="18">
    <w:abstractNumId w:val="11"/>
  </w:num>
  <w:num w:numId="19">
    <w:abstractNumId w:val="2"/>
  </w:num>
  <w:num w:numId="20">
    <w:abstractNumId w:val="0"/>
  </w:num>
  <w:num w:numId="21">
    <w:abstractNumId w:val="34"/>
  </w:num>
  <w:num w:numId="22">
    <w:abstractNumId w:val="32"/>
  </w:num>
  <w:num w:numId="23">
    <w:abstractNumId w:val="3"/>
  </w:num>
  <w:num w:numId="24">
    <w:abstractNumId w:val="10"/>
  </w:num>
  <w:num w:numId="25">
    <w:abstractNumId w:val="7"/>
  </w:num>
  <w:num w:numId="26">
    <w:abstractNumId w:val="6"/>
  </w:num>
  <w:num w:numId="27">
    <w:abstractNumId w:val="18"/>
  </w:num>
  <w:num w:numId="28">
    <w:abstractNumId w:val="1"/>
  </w:num>
  <w:num w:numId="29">
    <w:abstractNumId w:val="14"/>
  </w:num>
  <w:num w:numId="3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 w:numId="33">
    <w:abstractNumId w:val="17"/>
  </w:num>
  <w:num w:numId="34">
    <w:abstractNumId w:val="36"/>
  </w:num>
  <w:num w:numId="35">
    <w:abstractNumId w:val="26"/>
  </w:num>
  <w:num w:numId="36">
    <w:abstractNumId w:val="38"/>
  </w:num>
  <w:num w:numId="37">
    <w:abstractNumId w:val="39"/>
  </w:num>
  <w:num w:numId="38">
    <w:abstractNumId w:val="22"/>
  </w:num>
  <w:num w:numId="39">
    <w:abstractNumId w:val="16"/>
  </w:num>
  <w:num w:numId="40">
    <w:abstractNumId w:val="28"/>
  </w:num>
  <w:num w:numId="41">
    <w:abstractNumId w:val="25"/>
  </w:num>
  <w:num w:numId="42">
    <w:abstractNumId w:val="25"/>
    <w:lvlOverride w:ilvl="0">
      <w:startOverride w:val="1"/>
    </w:lvlOverride>
  </w:num>
  <w:num w:numId="43">
    <w:abstractNumId w:val="4"/>
  </w:num>
  <w:num w:numId="4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80C"/>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42C"/>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284"/>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CAC"/>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63E"/>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1690"/>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652"/>
    <w:rsid w:val="001D38F7"/>
    <w:rsid w:val="001D3E96"/>
    <w:rsid w:val="001D439C"/>
    <w:rsid w:val="001D49A9"/>
    <w:rsid w:val="001D4A38"/>
    <w:rsid w:val="001D4C9E"/>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656"/>
    <w:rsid w:val="001E07FA"/>
    <w:rsid w:val="001E145A"/>
    <w:rsid w:val="001E1580"/>
    <w:rsid w:val="001E1B51"/>
    <w:rsid w:val="001E1C44"/>
    <w:rsid w:val="001E207C"/>
    <w:rsid w:val="001E216A"/>
    <w:rsid w:val="001E23E1"/>
    <w:rsid w:val="001E37A0"/>
    <w:rsid w:val="001E3C3D"/>
    <w:rsid w:val="001E3D22"/>
    <w:rsid w:val="001E4985"/>
    <w:rsid w:val="001E5072"/>
    <w:rsid w:val="001E525A"/>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2C5"/>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A54"/>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85"/>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C7F03"/>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A47"/>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076E"/>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3E4"/>
    <w:rsid w:val="0036765C"/>
    <w:rsid w:val="00367C91"/>
    <w:rsid w:val="0037029C"/>
    <w:rsid w:val="00370D20"/>
    <w:rsid w:val="003713FB"/>
    <w:rsid w:val="003714EA"/>
    <w:rsid w:val="00371B3B"/>
    <w:rsid w:val="00371DCC"/>
    <w:rsid w:val="00372108"/>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322"/>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53"/>
    <w:rsid w:val="003D7CB1"/>
    <w:rsid w:val="003E0225"/>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AE6"/>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41"/>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17"/>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2C9"/>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4B11"/>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2C2B"/>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CA"/>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727"/>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4F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776"/>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4BE3"/>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64E"/>
    <w:rsid w:val="005F077B"/>
    <w:rsid w:val="005F0C86"/>
    <w:rsid w:val="005F1018"/>
    <w:rsid w:val="005F1231"/>
    <w:rsid w:val="005F125D"/>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1E0E"/>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5910"/>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5D"/>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7F5"/>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05FE"/>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C98"/>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18D"/>
    <w:rsid w:val="007224C1"/>
    <w:rsid w:val="00722A2A"/>
    <w:rsid w:val="00722A2E"/>
    <w:rsid w:val="00722E0A"/>
    <w:rsid w:val="0072318D"/>
    <w:rsid w:val="0072353C"/>
    <w:rsid w:val="00723827"/>
    <w:rsid w:val="00723BB2"/>
    <w:rsid w:val="007241EF"/>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C2A"/>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B1"/>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309"/>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2D08"/>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7C7"/>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050"/>
    <w:rsid w:val="00915D66"/>
    <w:rsid w:val="00915E83"/>
    <w:rsid w:val="00916E6B"/>
    <w:rsid w:val="00917B37"/>
    <w:rsid w:val="00917EE3"/>
    <w:rsid w:val="0092006F"/>
    <w:rsid w:val="009203EC"/>
    <w:rsid w:val="00920A40"/>
    <w:rsid w:val="00920B43"/>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D41"/>
    <w:rsid w:val="00941FE5"/>
    <w:rsid w:val="00942709"/>
    <w:rsid w:val="00942722"/>
    <w:rsid w:val="009427F4"/>
    <w:rsid w:val="0094281B"/>
    <w:rsid w:val="009428F4"/>
    <w:rsid w:val="00942E6C"/>
    <w:rsid w:val="009431F3"/>
    <w:rsid w:val="0094357F"/>
    <w:rsid w:val="00943C76"/>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D2F"/>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3BC2"/>
    <w:rsid w:val="009941C6"/>
    <w:rsid w:val="009943AE"/>
    <w:rsid w:val="0099490F"/>
    <w:rsid w:val="00994D37"/>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265"/>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9F4"/>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6ED4"/>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22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68A0"/>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7EA"/>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617"/>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38B"/>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CB3"/>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52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C6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292"/>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329"/>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C796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D31"/>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87C"/>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7FF"/>
    <w:rsid w:val="00DD287E"/>
    <w:rsid w:val="00DD2C9C"/>
    <w:rsid w:val="00DD2E2D"/>
    <w:rsid w:val="00DD32C4"/>
    <w:rsid w:val="00DD4072"/>
    <w:rsid w:val="00DD447A"/>
    <w:rsid w:val="00DD48C4"/>
    <w:rsid w:val="00DD4B61"/>
    <w:rsid w:val="00DD5172"/>
    <w:rsid w:val="00DD582C"/>
    <w:rsid w:val="00DD5ADE"/>
    <w:rsid w:val="00DD5E8D"/>
    <w:rsid w:val="00DD5FAB"/>
    <w:rsid w:val="00DD6475"/>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471"/>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146"/>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2BF"/>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6C1"/>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4C4"/>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506"/>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AE4"/>
    <w:rsid w:val="00F12DBE"/>
    <w:rsid w:val="00F1312C"/>
    <w:rsid w:val="00F132D1"/>
    <w:rsid w:val="00F139D2"/>
    <w:rsid w:val="00F143C1"/>
    <w:rsid w:val="00F1444F"/>
    <w:rsid w:val="00F1468E"/>
    <w:rsid w:val="00F14734"/>
    <w:rsid w:val="00F14C6D"/>
    <w:rsid w:val="00F14E23"/>
    <w:rsid w:val="00F15316"/>
    <w:rsid w:val="00F1574C"/>
    <w:rsid w:val="00F15B81"/>
    <w:rsid w:val="00F15E5F"/>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5AA"/>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AF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1F37"/>
    <w:rsid w:val="00F72419"/>
    <w:rsid w:val="00F726C8"/>
    <w:rsid w:val="00F727A3"/>
    <w:rsid w:val="00F72D1D"/>
    <w:rsid w:val="00F73EBA"/>
    <w:rsid w:val="00F74309"/>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5CE"/>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906"/>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DE"/>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9D1"/>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1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aliases w:val="- Bullets"/>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 w:type="paragraph" w:customStyle="1" w:styleId="3GPPHeader">
    <w:name w:val="3GPP_Header"/>
    <w:basedOn w:val="Normal"/>
    <w:rsid w:val="00D7587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ListParagraphChar">
    <w:name w:val="List Paragraph Char"/>
    <w:aliases w:val="- Bullets Char"/>
    <w:link w:val="ListParagraph"/>
    <w:uiPriority w:val="34"/>
    <w:qFormat/>
    <w:rsid w:val="00BD2520"/>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76928293">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2018-02-16T00:15:00Z</dcterms:created>
  <dcterms:modified xsi:type="dcterms:W3CDTF">2018-02-16T16:51:00Z</dcterms:modified>
</cp:coreProperties>
</file>